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12" w:rsidRDefault="00D7407C" w:rsidP="006B0C12">
      <w:pPr>
        <w:tabs>
          <w:tab w:val="left" w:pos="1307"/>
          <w:tab w:val="left" w:pos="2027"/>
          <w:tab w:val="left" w:pos="2747"/>
          <w:tab w:val="left" w:pos="3467"/>
          <w:tab w:val="left" w:pos="4187"/>
          <w:tab w:val="left" w:pos="4907"/>
          <w:tab w:val="left" w:pos="5627"/>
          <w:tab w:val="left" w:pos="6347"/>
          <w:tab w:val="left" w:pos="7067"/>
          <w:tab w:val="left" w:pos="7787"/>
          <w:tab w:val="left" w:pos="8507"/>
          <w:tab w:val="left" w:pos="9227"/>
        </w:tabs>
        <w:spacing w:after="240"/>
        <w:rPr>
          <w:rFonts w:ascii="Arial" w:hAnsi="Arial" w:cs="Arial"/>
          <w:b/>
          <w:sz w:val="22"/>
          <w:szCs w:val="22"/>
        </w:rPr>
      </w:pPr>
      <w:r w:rsidRPr="00D7407C">
        <w:rPr>
          <w:rFonts w:ascii="Arial" w:hAnsi="Arial" w:cs="Arial"/>
          <w:b/>
          <w:sz w:val="22"/>
          <w:szCs w:val="22"/>
        </w:rPr>
        <w:t xml:space="preserve">Inkrafttreten des Bebauungsplans </w:t>
      </w:r>
      <w:r w:rsidR="00254B91">
        <w:rPr>
          <w:rFonts w:ascii="Arial" w:hAnsi="Arial" w:cs="Arial"/>
          <w:b/>
          <w:sz w:val="22"/>
          <w:szCs w:val="22"/>
        </w:rPr>
        <w:t>„</w:t>
      </w:r>
      <w:r w:rsidR="00B33509" w:rsidRPr="00B33509">
        <w:rPr>
          <w:rFonts w:ascii="Arial" w:hAnsi="Arial" w:cs="Arial"/>
          <w:b/>
          <w:sz w:val="22"/>
          <w:szCs w:val="22"/>
        </w:rPr>
        <w:t>Alter Bauhof-Bürgerpark</w:t>
      </w:r>
      <w:r w:rsidR="00254B91">
        <w:rPr>
          <w:rFonts w:ascii="Arial" w:hAnsi="Arial" w:cs="Arial"/>
          <w:b/>
          <w:sz w:val="22"/>
          <w:szCs w:val="22"/>
        </w:rPr>
        <w:t xml:space="preserve">“ Gemarkung </w:t>
      </w:r>
      <w:r w:rsidR="00B33509">
        <w:rPr>
          <w:rFonts w:ascii="Arial" w:hAnsi="Arial" w:cs="Arial"/>
          <w:b/>
          <w:sz w:val="22"/>
          <w:szCs w:val="22"/>
        </w:rPr>
        <w:t>Knittlingen</w:t>
      </w:r>
      <w:r>
        <w:rPr>
          <w:rFonts w:ascii="Arial" w:hAnsi="Arial" w:cs="Arial"/>
          <w:b/>
          <w:sz w:val="22"/>
          <w:szCs w:val="22"/>
        </w:rPr>
        <w:t xml:space="preserve"> </w:t>
      </w:r>
      <w:r w:rsidRPr="00D7407C">
        <w:rPr>
          <w:rFonts w:ascii="Arial" w:hAnsi="Arial" w:cs="Arial"/>
          <w:b/>
          <w:sz w:val="22"/>
          <w:szCs w:val="22"/>
        </w:rPr>
        <w:t>gem. § 10 Abs. 3 Baugesetzbuch (BauGB)</w:t>
      </w:r>
    </w:p>
    <w:p w:rsidR="00D9420F" w:rsidRPr="008B1EE0" w:rsidRDefault="008B1EE0" w:rsidP="008B1EE0">
      <w:pPr>
        <w:tabs>
          <w:tab w:val="left" w:pos="709"/>
          <w:tab w:val="left" w:pos="1307"/>
          <w:tab w:val="left" w:pos="2747"/>
          <w:tab w:val="left" w:pos="3467"/>
          <w:tab w:val="left" w:pos="4187"/>
          <w:tab w:val="left" w:pos="4907"/>
          <w:tab w:val="left" w:pos="5627"/>
          <w:tab w:val="left" w:pos="6347"/>
          <w:tab w:val="left" w:pos="7067"/>
          <w:tab w:val="left" w:pos="7787"/>
          <w:tab w:val="left" w:pos="8507"/>
          <w:tab w:val="left" w:pos="9227"/>
        </w:tabs>
        <w:spacing w:after="120"/>
        <w:rPr>
          <w:rFonts w:ascii="Arial" w:hAnsi="Arial" w:cs="Arial"/>
          <w:bCs/>
          <w:sz w:val="20"/>
        </w:rPr>
      </w:pPr>
      <w:r w:rsidRPr="008B1EE0">
        <w:rPr>
          <w:rFonts w:ascii="Arial" w:hAnsi="Arial" w:cs="Arial"/>
          <w:bCs/>
          <w:sz w:val="20"/>
        </w:rPr>
        <w:t>Der Gemeinderat der Stadt Knittlingen hat in seiner öffentlichen Sitzung am 06.02.2024 über die Ergebnisse der erneuten Beteiligung der Öffentlichkeit gem. § 3 Abs. 2 BauGB i.V. mit § 4a Abs. 3 BauGB sowie der Behörden gem. § 4 Abs. 2 BauGB i.V. mit § 4a Abs. 3 BauGB beraten und die Abwägung der öffentlichen und privaten Belange nach § 1 Abs. 7 BauGB vorgenommen. Ebenfalls in seiner öffentlichen Sitzung am 06.02.2024 hat der</w:t>
      </w:r>
      <w:r w:rsidR="00D9420F" w:rsidRPr="008B1EE0">
        <w:rPr>
          <w:rFonts w:ascii="Arial" w:hAnsi="Arial" w:cs="Arial"/>
          <w:bCs/>
          <w:sz w:val="20"/>
        </w:rPr>
        <w:t xml:space="preserve"> Gemeinderat der Stadt Knittlingen den Bebauungsplan „Alter Bauhof – Bürgerpark“ gemäß § 10 Abs. 1 BauGB als Satzung beschlossen.</w:t>
      </w:r>
    </w:p>
    <w:p w:rsidR="00D9420F" w:rsidRPr="008B1EE0" w:rsidRDefault="00D9420F" w:rsidP="008B1EE0">
      <w:pPr>
        <w:tabs>
          <w:tab w:val="left" w:pos="709"/>
          <w:tab w:val="left" w:pos="1307"/>
          <w:tab w:val="left" w:pos="2747"/>
          <w:tab w:val="left" w:pos="3467"/>
          <w:tab w:val="left" w:pos="4187"/>
          <w:tab w:val="left" w:pos="4907"/>
          <w:tab w:val="left" w:pos="5627"/>
          <w:tab w:val="left" w:pos="6347"/>
          <w:tab w:val="left" w:pos="7067"/>
          <w:tab w:val="left" w:pos="7787"/>
          <w:tab w:val="left" w:pos="8507"/>
          <w:tab w:val="left" w:pos="9227"/>
        </w:tabs>
        <w:spacing w:after="120"/>
        <w:rPr>
          <w:rFonts w:ascii="Arial" w:hAnsi="Arial" w:cs="Arial"/>
          <w:bCs/>
          <w:sz w:val="20"/>
        </w:rPr>
      </w:pPr>
      <w:r w:rsidRPr="008B1EE0">
        <w:rPr>
          <w:rFonts w:ascii="Arial" w:hAnsi="Arial" w:cs="Arial"/>
          <w:bCs/>
          <w:sz w:val="20"/>
        </w:rPr>
        <w:t xml:space="preserve">Maßgebend ist der Bebauungsplan mit Satzung über örtliche Bauvorschriften sowie die Begründung </w:t>
      </w:r>
      <w:bookmarkStart w:id="0" w:name="_GoBack"/>
      <w:r w:rsidRPr="008B1EE0">
        <w:rPr>
          <w:rFonts w:ascii="Arial" w:hAnsi="Arial" w:cs="Arial"/>
          <w:bCs/>
          <w:sz w:val="20"/>
        </w:rPr>
        <w:t>vom 15.01.2024/17.10.</w:t>
      </w:r>
      <w:r w:rsidR="00DA3149">
        <w:rPr>
          <w:rFonts w:ascii="Arial" w:hAnsi="Arial" w:cs="Arial"/>
          <w:bCs/>
          <w:sz w:val="20"/>
        </w:rPr>
        <w:t>20</w:t>
      </w:r>
      <w:r w:rsidRPr="008B1EE0">
        <w:rPr>
          <w:rFonts w:ascii="Arial" w:hAnsi="Arial" w:cs="Arial"/>
          <w:bCs/>
          <w:sz w:val="20"/>
        </w:rPr>
        <w:t xml:space="preserve">23. Der räumliche Geltungsbereich des Bebauungsplans ergibt sich aus </w:t>
      </w:r>
      <w:bookmarkEnd w:id="0"/>
      <w:r w:rsidRPr="008B1EE0">
        <w:rPr>
          <w:rFonts w:ascii="Arial" w:hAnsi="Arial" w:cs="Arial"/>
          <w:bCs/>
          <w:sz w:val="20"/>
        </w:rPr>
        <w:t>dem zeichnerischen Teil in der Fassung vom 15.01.2024.</w:t>
      </w:r>
    </w:p>
    <w:p w:rsidR="0099239F" w:rsidRDefault="00D9420F" w:rsidP="008B1EE0">
      <w:pPr>
        <w:tabs>
          <w:tab w:val="left" w:pos="709"/>
          <w:tab w:val="left" w:pos="1307"/>
          <w:tab w:val="left" w:pos="2747"/>
          <w:tab w:val="left" w:pos="3467"/>
          <w:tab w:val="left" w:pos="4187"/>
          <w:tab w:val="left" w:pos="4907"/>
          <w:tab w:val="left" w:pos="5627"/>
          <w:tab w:val="left" w:pos="6347"/>
          <w:tab w:val="left" w:pos="7067"/>
          <w:tab w:val="left" w:pos="7787"/>
          <w:tab w:val="left" w:pos="8507"/>
          <w:tab w:val="left" w:pos="9227"/>
        </w:tabs>
        <w:spacing w:after="120"/>
        <w:rPr>
          <w:rFonts w:ascii="Arial" w:hAnsi="Arial" w:cs="Arial"/>
          <w:bCs/>
          <w:sz w:val="20"/>
        </w:rPr>
      </w:pPr>
      <w:r w:rsidRPr="008B1EE0">
        <w:rPr>
          <w:rFonts w:ascii="Arial" w:hAnsi="Arial" w:cs="Arial"/>
          <w:bCs/>
          <w:sz w:val="20"/>
        </w:rPr>
        <w:t xml:space="preserve">Der Bebauungsplan umfasst die </w:t>
      </w:r>
      <w:r w:rsidR="0099239F" w:rsidRPr="008B1EE0">
        <w:rPr>
          <w:rFonts w:ascii="Arial" w:hAnsi="Arial" w:cs="Arial"/>
          <w:bCs/>
          <w:sz w:val="20"/>
        </w:rPr>
        <w:t xml:space="preserve">Flurstücke 128, 130-140, 142, 150, 159, 161, 162/1, 162/2, 163-168, 209, 211-217, 219, 221-243, 245-253, 275/1, 278-280 sowie Teile der </w:t>
      </w:r>
      <w:proofErr w:type="spellStart"/>
      <w:r w:rsidR="0099239F" w:rsidRPr="008B1EE0">
        <w:rPr>
          <w:rFonts w:ascii="Arial" w:hAnsi="Arial" w:cs="Arial"/>
          <w:bCs/>
          <w:sz w:val="20"/>
        </w:rPr>
        <w:t>Flst</w:t>
      </w:r>
      <w:proofErr w:type="spellEnd"/>
      <w:r w:rsidR="0099239F" w:rsidRPr="008B1EE0">
        <w:rPr>
          <w:rFonts w:ascii="Arial" w:hAnsi="Arial" w:cs="Arial"/>
          <w:bCs/>
          <w:sz w:val="20"/>
        </w:rPr>
        <w:t xml:space="preserve">. 120/1, 157, 178, 6208/1 und 3899/2 auf der Gemarkung Knittlingen. Die Fläche beträgt ca. 3,1 ha. </w:t>
      </w:r>
    </w:p>
    <w:p w:rsidR="008B1EE0" w:rsidRPr="008B1EE0" w:rsidRDefault="008B1EE0" w:rsidP="008B1EE0">
      <w:pPr>
        <w:tabs>
          <w:tab w:val="left" w:pos="709"/>
          <w:tab w:val="left" w:pos="1307"/>
          <w:tab w:val="left" w:pos="2747"/>
          <w:tab w:val="left" w:pos="3467"/>
          <w:tab w:val="left" w:pos="4187"/>
          <w:tab w:val="left" w:pos="4907"/>
          <w:tab w:val="left" w:pos="5627"/>
          <w:tab w:val="left" w:pos="6347"/>
          <w:tab w:val="left" w:pos="7067"/>
          <w:tab w:val="left" w:pos="7787"/>
          <w:tab w:val="left" w:pos="8507"/>
          <w:tab w:val="left" w:pos="9227"/>
        </w:tabs>
        <w:spacing w:after="120"/>
        <w:rPr>
          <w:rFonts w:ascii="Arial" w:hAnsi="Arial" w:cs="Arial"/>
          <w:bCs/>
          <w:sz w:val="20"/>
        </w:rPr>
      </w:pPr>
      <w:r w:rsidRPr="008B1EE0">
        <w:rPr>
          <w:rFonts w:ascii="Arial" w:hAnsi="Arial" w:cs="Arial"/>
          <w:bCs/>
          <w:sz w:val="20"/>
        </w:rPr>
        <w:t>Das Vorhaben befindet sich im Innenbereich. Im gültigen Flächennutzungsplan wird die überplante Fläche im Nordosten und im Süden als Mischgebiet (Bestand) ausgewiesen. An zentraler Stelle des Plangebiets weist der Flächennutzungsplan eine Gemeinbedarfsfläche „Bauhof“ aus. Im Westen und Nordwesten werden kleine Bereiche als Gewerbegebiete ausgewiesen. Weitere Bereiche im Norden und Osten werden als Grünfläche (Bestand) ausgewiesen. Der Flächennutzungsplan muss gem. § 13 a Abs. 2 Satz 2 BauGB auf dem Wege der Berichtigung angepasst werden.</w:t>
      </w:r>
    </w:p>
    <w:p w:rsidR="008B1EE0" w:rsidRDefault="008B1EE0" w:rsidP="008B1EE0">
      <w:pPr>
        <w:tabs>
          <w:tab w:val="left" w:pos="709"/>
          <w:tab w:val="left" w:pos="1307"/>
          <w:tab w:val="left" w:pos="2747"/>
          <w:tab w:val="left" w:pos="3467"/>
          <w:tab w:val="left" w:pos="4187"/>
          <w:tab w:val="left" w:pos="4907"/>
          <w:tab w:val="left" w:pos="5627"/>
          <w:tab w:val="left" w:pos="6347"/>
          <w:tab w:val="left" w:pos="7067"/>
          <w:tab w:val="left" w:pos="7787"/>
          <w:tab w:val="left" w:pos="8507"/>
          <w:tab w:val="left" w:pos="9227"/>
        </w:tabs>
        <w:spacing w:after="120"/>
        <w:rPr>
          <w:rFonts w:ascii="Arial" w:hAnsi="Arial" w:cs="Arial"/>
          <w:bCs/>
          <w:sz w:val="20"/>
        </w:rPr>
      </w:pPr>
      <w:r w:rsidRPr="008B1EE0">
        <w:rPr>
          <w:rFonts w:ascii="Arial" w:hAnsi="Arial" w:cs="Arial"/>
          <w:bCs/>
          <w:sz w:val="20"/>
        </w:rPr>
        <w:t xml:space="preserve">Das Plangebiet liegt zwischen der Bestandsbebauung entlang der </w:t>
      </w:r>
      <w:proofErr w:type="spellStart"/>
      <w:r w:rsidRPr="008B1EE0">
        <w:rPr>
          <w:rFonts w:ascii="Arial" w:hAnsi="Arial" w:cs="Arial"/>
          <w:bCs/>
          <w:sz w:val="20"/>
        </w:rPr>
        <w:t>Lüßstraße</w:t>
      </w:r>
      <w:proofErr w:type="spellEnd"/>
      <w:r w:rsidRPr="008B1EE0">
        <w:rPr>
          <w:rFonts w:ascii="Arial" w:hAnsi="Arial" w:cs="Arial"/>
          <w:bCs/>
          <w:sz w:val="20"/>
        </w:rPr>
        <w:t xml:space="preserve"> im Osten, der Brettener Straße im Norden und des Pflegmühlewegs im Süden, zwischen den Gewässerläufen von Weißach und Esselbach.</w:t>
      </w:r>
    </w:p>
    <w:p w:rsidR="00067CC0" w:rsidRDefault="00067CC0" w:rsidP="008B1EE0">
      <w:pPr>
        <w:tabs>
          <w:tab w:val="left" w:pos="709"/>
          <w:tab w:val="left" w:pos="1307"/>
          <w:tab w:val="left" w:pos="2747"/>
          <w:tab w:val="left" w:pos="3467"/>
          <w:tab w:val="left" w:pos="4187"/>
          <w:tab w:val="left" w:pos="4907"/>
          <w:tab w:val="left" w:pos="5627"/>
          <w:tab w:val="left" w:pos="6347"/>
          <w:tab w:val="left" w:pos="7067"/>
          <w:tab w:val="left" w:pos="7787"/>
          <w:tab w:val="left" w:pos="8507"/>
          <w:tab w:val="left" w:pos="9227"/>
        </w:tabs>
        <w:spacing w:after="120"/>
        <w:rPr>
          <w:rFonts w:ascii="Arial" w:hAnsi="Arial" w:cs="Arial"/>
          <w:bCs/>
          <w:sz w:val="20"/>
        </w:rPr>
      </w:pPr>
      <w:r w:rsidRPr="00067CC0">
        <w:rPr>
          <w:rFonts w:ascii="Arial" w:hAnsi="Arial" w:cs="Arial"/>
          <w:bCs/>
          <w:sz w:val="20"/>
        </w:rPr>
        <w:t xml:space="preserve">Gemäß § 10 Abs. 3 BauGB </w:t>
      </w:r>
      <w:r>
        <w:rPr>
          <w:rFonts w:ascii="Arial" w:hAnsi="Arial" w:cs="Arial"/>
          <w:bCs/>
          <w:sz w:val="20"/>
        </w:rPr>
        <w:t xml:space="preserve">wird </w:t>
      </w:r>
      <w:r w:rsidRPr="00067CC0">
        <w:rPr>
          <w:rFonts w:ascii="Arial" w:hAnsi="Arial" w:cs="Arial"/>
          <w:bCs/>
          <w:sz w:val="20"/>
        </w:rPr>
        <w:t>de</w:t>
      </w:r>
      <w:r>
        <w:rPr>
          <w:rFonts w:ascii="Arial" w:hAnsi="Arial" w:cs="Arial"/>
          <w:bCs/>
          <w:sz w:val="20"/>
        </w:rPr>
        <w:t>r</w:t>
      </w:r>
      <w:r w:rsidRPr="00067CC0">
        <w:rPr>
          <w:rFonts w:ascii="Arial" w:hAnsi="Arial" w:cs="Arial"/>
          <w:bCs/>
          <w:sz w:val="20"/>
        </w:rPr>
        <w:t xml:space="preserve"> Satzungsbeschl</w:t>
      </w:r>
      <w:r>
        <w:rPr>
          <w:rFonts w:ascii="Arial" w:hAnsi="Arial" w:cs="Arial"/>
          <w:bCs/>
          <w:sz w:val="20"/>
        </w:rPr>
        <w:t>uss</w:t>
      </w:r>
      <w:r w:rsidRPr="00067CC0">
        <w:rPr>
          <w:rFonts w:ascii="Arial" w:hAnsi="Arial" w:cs="Arial"/>
          <w:bCs/>
          <w:sz w:val="20"/>
        </w:rPr>
        <w:t xml:space="preserve"> hiermit ortsüblich bekannt gemacht.</w:t>
      </w:r>
    </w:p>
    <w:p w:rsidR="00D9420F" w:rsidRPr="008B1EE0" w:rsidRDefault="00D9420F" w:rsidP="008B1EE0">
      <w:pPr>
        <w:tabs>
          <w:tab w:val="left" w:pos="709"/>
          <w:tab w:val="left" w:pos="1307"/>
          <w:tab w:val="left" w:pos="2747"/>
          <w:tab w:val="left" w:pos="3467"/>
          <w:tab w:val="left" w:pos="4187"/>
          <w:tab w:val="left" w:pos="4907"/>
          <w:tab w:val="left" w:pos="5627"/>
          <w:tab w:val="left" w:pos="6347"/>
          <w:tab w:val="left" w:pos="7067"/>
          <w:tab w:val="left" w:pos="7787"/>
          <w:tab w:val="left" w:pos="8507"/>
          <w:tab w:val="left" w:pos="9227"/>
        </w:tabs>
        <w:spacing w:after="120"/>
        <w:rPr>
          <w:rFonts w:ascii="Arial" w:hAnsi="Arial" w:cs="Arial"/>
          <w:bCs/>
          <w:sz w:val="20"/>
        </w:rPr>
      </w:pPr>
      <w:r w:rsidRPr="008B1EE0">
        <w:rPr>
          <w:rFonts w:ascii="Arial" w:hAnsi="Arial" w:cs="Arial"/>
          <w:bCs/>
          <w:sz w:val="20"/>
        </w:rPr>
        <w:t>Der Bebauungsplan „</w:t>
      </w:r>
      <w:r w:rsidR="008B1EE0" w:rsidRPr="008B1EE0">
        <w:rPr>
          <w:rFonts w:ascii="Arial" w:hAnsi="Arial" w:cs="Arial"/>
          <w:bCs/>
          <w:sz w:val="20"/>
        </w:rPr>
        <w:t>Alter Bauhof – Bürgerpark</w:t>
      </w:r>
      <w:r w:rsidRPr="008B1EE0">
        <w:rPr>
          <w:rFonts w:ascii="Arial" w:hAnsi="Arial" w:cs="Arial"/>
          <w:bCs/>
          <w:sz w:val="20"/>
        </w:rPr>
        <w:t xml:space="preserve">“ Gemarkung </w:t>
      </w:r>
      <w:r w:rsidR="008B1EE0">
        <w:rPr>
          <w:rFonts w:ascii="Arial" w:hAnsi="Arial" w:cs="Arial"/>
          <w:bCs/>
          <w:sz w:val="20"/>
        </w:rPr>
        <w:t>Knittlingen</w:t>
      </w:r>
      <w:r w:rsidRPr="008B1EE0">
        <w:rPr>
          <w:rFonts w:ascii="Arial" w:hAnsi="Arial" w:cs="Arial"/>
          <w:bCs/>
          <w:sz w:val="20"/>
        </w:rPr>
        <w:t xml:space="preserve"> tritt gemäß § 10 Abs. 3 BauGB mit dieser Bekanntmachung in Kraft.</w:t>
      </w:r>
    </w:p>
    <w:p w:rsidR="008B1EE0" w:rsidRPr="00287FB9" w:rsidRDefault="00D9420F" w:rsidP="00287FB9">
      <w:pPr>
        <w:tabs>
          <w:tab w:val="left" w:pos="709"/>
          <w:tab w:val="left" w:pos="1307"/>
          <w:tab w:val="left" w:pos="2747"/>
          <w:tab w:val="left" w:pos="3467"/>
          <w:tab w:val="left" w:pos="4187"/>
          <w:tab w:val="left" w:pos="4907"/>
          <w:tab w:val="left" w:pos="5627"/>
          <w:tab w:val="left" w:pos="6347"/>
          <w:tab w:val="left" w:pos="7067"/>
          <w:tab w:val="left" w:pos="7787"/>
          <w:tab w:val="left" w:pos="8507"/>
          <w:tab w:val="left" w:pos="9227"/>
        </w:tabs>
        <w:spacing w:after="120"/>
        <w:rPr>
          <w:rFonts w:ascii="Arial" w:hAnsi="Arial" w:cs="Arial"/>
          <w:bCs/>
          <w:sz w:val="20"/>
        </w:rPr>
      </w:pPr>
      <w:r w:rsidRPr="008B1EE0">
        <w:rPr>
          <w:rFonts w:ascii="Arial" w:hAnsi="Arial" w:cs="Arial"/>
          <w:bCs/>
          <w:sz w:val="20"/>
        </w:rPr>
        <w:t xml:space="preserve">Der Bebauungsplan kann einschließlich seiner Begründung </w:t>
      </w:r>
      <w:r w:rsidR="00067CC0">
        <w:rPr>
          <w:rFonts w:ascii="Arial" w:hAnsi="Arial" w:cs="Arial"/>
          <w:bCs/>
          <w:sz w:val="20"/>
        </w:rPr>
        <w:t xml:space="preserve">und dem Ergebnis der Abwägung </w:t>
      </w:r>
      <w:r w:rsidRPr="008B1EE0">
        <w:rPr>
          <w:rFonts w:ascii="Arial" w:hAnsi="Arial" w:cs="Arial"/>
          <w:bCs/>
          <w:sz w:val="20"/>
        </w:rPr>
        <w:t xml:space="preserve">bei der </w:t>
      </w:r>
      <w:r w:rsidR="008B1EE0" w:rsidRPr="00287FB9">
        <w:rPr>
          <w:rFonts w:ascii="Arial" w:hAnsi="Arial" w:cs="Arial"/>
          <w:bCs/>
          <w:sz w:val="20"/>
        </w:rPr>
        <w:t>Stadtverwaltung Knittlingen, Stadtbauamt, Marktstraße 17, 75438 Knittlingen während der üblichen Öffnungszeiten</w:t>
      </w:r>
      <w:r w:rsidR="008B1EE0" w:rsidRPr="008B1EE0">
        <w:rPr>
          <w:rFonts w:ascii="Arial" w:hAnsi="Arial" w:cs="Arial"/>
          <w:bCs/>
          <w:sz w:val="20"/>
        </w:rPr>
        <w:t xml:space="preserve"> eingesehen und über seinen Inhalt Auskunft verlangt werden.</w:t>
      </w:r>
      <w:r w:rsidR="008B1EE0">
        <w:rPr>
          <w:rFonts w:ascii="Arial" w:hAnsi="Arial" w:cs="Arial"/>
          <w:bCs/>
          <w:sz w:val="20"/>
        </w:rPr>
        <w:t xml:space="preserve"> </w:t>
      </w:r>
      <w:r w:rsidR="008B1EE0" w:rsidRPr="00287FB9">
        <w:rPr>
          <w:rFonts w:ascii="Arial" w:hAnsi="Arial" w:cs="Arial"/>
          <w:bCs/>
          <w:sz w:val="20"/>
        </w:rPr>
        <w:t>Terminvereinbarungen außerhalb der Sprechzeiten sind möglich.</w:t>
      </w:r>
      <w:r w:rsidR="00287FB9" w:rsidRPr="00287FB9">
        <w:rPr>
          <w:rFonts w:ascii="Arial" w:hAnsi="Arial" w:cs="Arial"/>
          <w:bCs/>
          <w:sz w:val="20"/>
        </w:rPr>
        <w:t xml:space="preserve"> Gleichzeitig kann der Bebauungsplan mit Begründung im Internet unter </w:t>
      </w:r>
      <w:r w:rsidR="008B1EE0" w:rsidRPr="00287FB9">
        <w:rPr>
          <w:rFonts w:ascii="Arial" w:hAnsi="Arial" w:cs="Arial"/>
          <w:bCs/>
          <w:sz w:val="20"/>
        </w:rPr>
        <w:t xml:space="preserve">www.knittlingen.de </w:t>
      </w:r>
      <w:r w:rsidR="00287FB9" w:rsidRPr="00287FB9">
        <w:rPr>
          <w:rFonts w:ascii="Arial" w:hAnsi="Arial" w:cs="Arial"/>
          <w:bCs/>
          <w:sz w:val="20"/>
        </w:rPr>
        <w:t>eingesehen werden.</w:t>
      </w:r>
    </w:p>
    <w:p w:rsidR="00D9420F" w:rsidRPr="008B1EE0" w:rsidRDefault="00D9420F" w:rsidP="008B1EE0">
      <w:pPr>
        <w:tabs>
          <w:tab w:val="left" w:pos="709"/>
          <w:tab w:val="left" w:pos="1307"/>
          <w:tab w:val="left" w:pos="2747"/>
          <w:tab w:val="left" w:pos="3467"/>
          <w:tab w:val="left" w:pos="4187"/>
          <w:tab w:val="left" w:pos="4907"/>
          <w:tab w:val="left" w:pos="5627"/>
          <w:tab w:val="left" w:pos="6347"/>
          <w:tab w:val="left" w:pos="7067"/>
          <w:tab w:val="left" w:pos="7787"/>
          <w:tab w:val="left" w:pos="8507"/>
          <w:tab w:val="left" w:pos="9227"/>
        </w:tabs>
        <w:spacing w:after="120"/>
        <w:rPr>
          <w:rFonts w:ascii="Arial" w:hAnsi="Arial" w:cs="Arial"/>
          <w:bCs/>
          <w:sz w:val="20"/>
        </w:rPr>
      </w:pPr>
      <w:r w:rsidRPr="00287FB9">
        <w:rPr>
          <w:rFonts w:ascii="Arial" w:hAnsi="Arial" w:cs="Arial"/>
          <w:bCs/>
          <w:sz w:val="20"/>
        </w:rPr>
        <w:t>Auf die Vorschriften des § 44 Abs. 3 Satz 1 und 2 BauGB über die Fälligkeit etwaiger Entschädigungsansprüche im Falle der in den §§ 39 - 42 BauGB bezeichneten Vermögensnachteile, deren Leistung schriftlich beim Entschädigungspflichtigen zu beantragen ist und des § 44 Abs. 4 BauGB über das Erlöschen von Entschädigungsansprüchen wird hingewiesen. Eine Verletzung der in § 214 Abs. 1 und 2 BauGB bezeichneten Verfahrens- und Formvorschriften sowie Mängel in der Abwägung nach § 214 Abs. 3 Satz 2 BauGB sind gemäß § 215 Abs. 1 Nr. 1 und 2 BauGB unbeachtlich, wenn die Verletzung der oben genannten Verfahrens- und Formvorschriften nicht innerhalb von einem Jahr seit dieser Bekanntmachung schriftlich gegenüber der Gemeinde geltend gemacht worden ist. Bei der Geltendmachung ist der Sachverhalt, der die Verletzung oder den Mangel begründen soll, darzulegen.</w:t>
      </w:r>
    </w:p>
    <w:p w:rsidR="00E33CEF" w:rsidRPr="00287FB9" w:rsidRDefault="00802B87" w:rsidP="00287FB9">
      <w:pPr>
        <w:tabs>
          <w:tab w:val="left" w:pos="709"/>
          <w:tab w:val="left" w:pos="1307"/>
          <w:tab w:val="left" w:pos="2747"/>
          <w:tab w:val="left" w:pos="3467"/>
          <w:tab w:val="left" w:pos="4187"/>
          <w:tab w:val="left" w:pos="4907"/>
          <w:tab w:val="left" w:pos="5627"/>
          <w:tab w:val="left" w:pos="6347"/>
          <w:tab w:val="left" w:pos="7067"/>
          <w:tab w:val="left" w:pos="7787"/>
          <w:tab w:val="left" w:pos="8507"/>
          <w:tab w:val="left" w:pos="9227"/>
        </w:tabs>
        <w:spacing w:after="120"/>
        <w:rPr>
          <w:rFonts w:ascii="Arial" w:hAnsi="Arial" w:cs="Arial"/>
          <w:bCs/>
          <w:sz w:val="20"/>
        </w:rPr>
      </w:pPr>
      <w:r w:rsidRPr="00287FB9">
        <w:rPr>
          <w:rFonts w:ascii="Arial" w:hAnsi="Arial" w:cs="Arial"/>
          <w:bCs/>
          <w:sz w:val="20"/>
        </w:rPr>
        <w:t>Knittlingen</w:t>
      </w:r>
      <w:r w:rsidR="00E33CEF" w:rsidRPr="00287FB9">
        <w:rPr>
          <w:rFonts w:ascii="Arial" w:hAnsi="Arial" w:cs="Arial"/>
          <w:bCs/>
          <w:sz w:val="20"/>
        </w:rPr>
        <w:t xml:space="preserve">, den </w:t>
      </w:r>
      <w:r w:rsidR="008B1EE0" w:rsidRPr="00287FB9">
        <w:rPr>
          <w:rFonts w:ascii="Arial" w:hAnsi="Arial" w:cs="Arial"/>
          <w:bCs/>
          <w:sz w:val="20"/>
        </w:rPr>
        <w:t>12</w:t>
      </w:r>
      <w:r w:rsidR="00004F69" w:rsidRPr="00287FB9">
        <w:rPr>
          <w:rFonts w:ascii="Arial" w:hAnsi="Arial" w:cs="Arial"/>
          <w:bCs/>
          <w:sz w:val="20"/>
        </w:rPr>
        <w:t>.02.202</w:t>
      </w:r>
      <w:r w:rsidR="008B1EE0" w:rsidRPr="00287FB9">
        <w:rPr>
          <w:rFonts w:ascii="Arial" w:hAnsi="Arial" w:cs="Arial"/>
          <w:bCs/>
          <w:sz w:val="20"/>
        </w:rPr>
        <w:t>4</w:t>
      </w:r>
    </w:p>
    <w:p w:rsidR="00E33CEF" w:rsidRPr="00287FB9" w:rsidRDefault="00E33CEF" w:rsidP="00287FB9">
      <w:pPr>
        <w:tabs>
          <w:tab w:val="left" w:pos="709"/>
          <w:tab w:val="left" w:pos="1307"/>
          <w:tab w:val="left" w:pos="2747"/>
          <w:tab w:val="left" w:pos="3467"/>
          <w:tab w:val="left" w:pos="4187"/>
          <w:tab w:val="left" w:pos="4907"/>
          <w:tab w:val="left" w:pos="5627"/>
          <w:tab w:val="left" w:pos="6347"/>
          <w:tab w:val="left" w:pos="7067"/>
          <w:tab w:val="left" w:pos="7787"/>
          <w:tab w:val="left" w:pos="8507"/>
          <w:tab w:val="left" w:pos="9227"/>
        </w:tabs>
        <w:spacing w:after="120"/>
        <w:rPr>
          <w:rFonts w:ascii="Arial" w:hAnsi="Arial" w:cs="Arial"/>
          <w:bCs/>
          <w:sz w:val="20"/>
        </w:rPr>
      </w:pPr>
    </w:p>
    <w:p w:rsidR="00E33CEF" w:rsidRPr="00287FB9" w:rsidRDefault="00E33CEF" w:rsidP="00287FB9">
      <w:pPr>
        <w:tabs>
          <w:tab w:val="left" w:pos="709"/>
          <w:tab w:val="left" w:pos="1307"/>
          <w:tab w:val="left" w:pos="2747"/>
          <w:tab w:val="left" w:pos="3467"/>
          <w:tab w:val="left" w:pos="4187"/>
          <w:tab w:val="left" w:pos="4907"/>
          <w:tab w:val="left" w:pos="5627"/>
          <w:tab w:val="left" w:pos="6347"/>
          <w:tab w:val="left" w:pos="7067"/>
          <w:tab w:val="left" w:pos="7787"/>
          <w:tab w:val="left" w:pos="8507"/>
          <w:tab w:val="left" w:pos="9227"/>
        </w:tabs>
        <w:spacing w:after="120"/>
        <w:rPr>
          <w:rFonts w:ascii="Arial" w:hAnsi="Arial" w:cs="Arial"/>
          <w:bCs/>
          <w:sz w:val="20"/>
        </w:rPr>
      </w:pPr>
      <w:r w:rsidRPr="00287FB9">
        <w:rPr>
          <w:rFonts w:ascii="Arial" w:hAnsi="Arial" w:cs="Arial"/>
          <w:bCs/>
          <w:sz w:val="20"/>
        </w:rPr>
        <w:t>gez.</w:t>
      </w:r>
      <w:r w:rsidR="00500DED" w:rsidRPr="00287FB9">
        <w:rPr>
          <w:rFonts w:ascii="Arial" w:hAnsi="Arial" w:cs="Arial"/>
          <w:bCs/>
          <w:sz w:val="20"/>
        </w:rPr>
        <w:t xml:space="preserve"> </w:t>
      </w:r>
      <w:r w:rsidR="00802B87" w:rsidRPr="00287FB9">
        <w:rPr>
          <w:rFonts w:ascii="Arial" w:hAnsi="Arial" w:cs="Arial"/>
          <w:bCs/>
          <w:sz w:val="20"/>
        </w:rPr>
        <w:t>Alexander Kozel</w:t>
      </w:r>
    </w:p>
    <w:p w:rsidR="00CF363C" w:rsidRPr="00287FB9" w:rsidRDefault="00E33CEF" w:rsidP="00287FB9">
      <w:pPr>
        <w:tabs>
          <w:tab w:val="left" w:pos="709"/>
          <w:tab w:val="left" w:pos="1307"/>
          <w:tab w:val="left" w:pos="2747"/>
          <w:tab w:val="left" w:pos="3467"/>
          <w:tab w:val="left" w:pos="4187"/>
          <w:tab w:val="left" w:pos="4907"/>
          <w:tab w:val="left" w:pos="5627"/>
          <w:tab w:val="left" w:pos="6347"/>
          <w:tab w:val="left" w:pos="7067"/>
          <w:tab w:val="left" w:pos="7787"/>
          <w:tab w:val="left" w:pos="8507"/>
          <w:tab w:val="left" w:pos="9227"/>
        </w:tabs>
        <w:spacing w:after="120"/>
        <w:rPr>
          <w:rFonts w:ascii="Arial" w:hAnsi="Arial" w:cs="Arial"/>
          <w:bCs/>
          <w:sz w:val="20"/>
        </w:rPr>
      </w:pPr>
      <w:r w:rsidRPr="00287FB9">
        <w:rPr>
          <w:rFonts w:ascii="Arial" w:hAnsi="Arial" w:cs="Arial"/>
          <w:bCs/>
          <w:sz w:val="20"/>
        </w:rPr>
        <w:t>Bürgermeister</w:t>
      </w:r>
    </w:p>
    <w:sectPr w:rsidR="00CF363C" w:rsidRPr="00287FB9" w:rsidSect="005617DA">
      <w:pgSz w:w="11906" w:h="16838" w:code="9"/>
      <w:pgMar w:top="1418" w:right="1418" w:bottom="1134" w:left="1418" w:header="720" w:footer="720" w:gutter="0"/>
      <w:paperSrc w:first="259" w:other="25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ordin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7534128D"/>
    <w:multiLevelType w:val="hybridMultilevel"/>
    <w:tmpl w:val="267A5830"/>
    <w:lvl w:ilvl="0" w:tplc="8BF0110A">
      <w:start w:val="62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E5"/>
    <w:rsid w:val="00004F69"/>
    <w:rsid w:val="0003320D"/>
    <w:rsid w:val="00041A92"/>
    <w:rsid w:val="00067CC0"/>
    <w:rsid w:val="0013416A"/>
    <w:rsid w:val="00161138"/>
    <w:rsid w:val="00176A4C"/>
    <w:rsid w:val="00182D63"/>
    <w:rsid w:val="001A44AD"/>
    <w:rsid w:val="001E5795"/>
    <w:rsid w:val="00247FE5"/>
    <w:rsid w:val="00254B91"/>
    <w:rsid w:val="00277DFF"/>
    <w:rsid w:val="00287FB9"/>
    <w:rsid w:val="0029699A"/>
    <w:rsid w:val="00311B0C"/>
    <w:rsid w:val="00330435"/>
    <w:rsid w:val="00387FCD"/>
    <w:rsid w:val="003B1AC0"/>
    <w:rsid w:val="00405D85"/>
    <w:rsid w:val="00443BCE"/>
    <w:rsid w:val="0047008A"/>
    <w:rsid w:val="004E6EE8"/>
    <w:rsid w:val="00500DED"/>
    <w:rsid w:val="0051017D"/>
    <w:rsid w:val="005320A6"/>
    <w:rsid w:val="005617DA"/>
    <w:rsid w:val="00582DAE"/>
    <w:rsid w:val="005A0F5E"/>
    <w:rsid w:val="005F1543"/>
    <w:rsid w:val="006A3E35"/>
    <w:rsid w:val="006B0C12"/>
    <w:rsid w:val="006E0E5F"/>
    <w:rsid w:val="006F0CFC"/>
    <w:rsid w:val="00720999"/>
    <w:rsid w:val="00734B5A"/>
    <w:rsid w:val="00740C37"/>
    <w:rsid w:val="00750CE5"/>
    <w:rsid w:val="007768CF"/>
    <w:rsid w:val="007B1FE2"/>
    <w:rsid w:val="007C00CF"/>
    <w:rsid w:val="007F1784"/>
    <w:rsid w:val="00802B87"/>
    <w:rsid w:val="0084043E"/>
    <w:rsid w:val="008B1EE0"/>
    <w:rsid w:val="008D09A3"/>
    <w:rsid w:val="008D31B9"/>
    <w:rsid w:val="009426D2"/>
    <w:rsid w:val="00971186"/>
    <w:rsid w:val="0099239F"/>
    <w:rsid w:val="00992B33"/>
    <w:rsid w:val="009D650A"/>
    <w:rsid w:val="00A075E1"/>
    <w:rsid w:val="00A2523B"/>
    <w:rsid w:val="00A66760"/>
    <w:rsid w:val="00AA23AD"/>
    <w:rsid w:val="00B33509"/>
    <w:rsid w:val="00B43897"/>
    <w:rsid w:val="00B447B9"/>
    <w:rsid w:val="00B6274B"/>
    <w:rsid w:val="00B64067"/>
    <w:rsid w:val="00BA2AB7"/>
    <w:rsid w:val="00BD3C93"/>
    <w:rsid w:val="00BF1C4D"/>
    <w:rsid w:val="00C1422A"/>
    <w:rsid w:val="00C75A6E"/>
    <w:rsid w:val="00CF363C"/>
    <w:rsid w:val="00D27AAA"/>
    <w:rsid w:val="00D27CDD"/>
    <w:rsid w:val="00D37668"/>
    <w:rsid w:val="00D40639"/>
    <w:rsid w:val="00D422B5"/>
    <w:rsid w:val="00D43705"/>
    <w:rsid w:val="00D7407C"/>
    <w:rsid w:val="00D81A37"/>
    <w:rsid w:val="00D9420F"/>
    <w:rsid w:val="00DA3149"/>
    <w:rsid w:val="00DA508D"/>
    <w:rsid w:val="00E33CEF"/>
    <w:rsid w:val="00F40722"/>
    <w:rsid w:val="00F44C3D"/>
    <w:rsid w:val="00FC3968"/>
    <w:rsid w:val="00FE25F9"/>
    <w:rsid w:val="00FF5A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E4F29E-B1AC-4D34-9BAB-DAAF3137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sz w:val="24"/>
    </w:rPr>
  </w:style>
  <w:style w:type="paragraph" w:styleId="berschrift1">
    <w:name w:val="heading 1"/>
    <w:basedOn w:val="Standard"/>
    <w:next w:val="Standard0"/>
    <w:qFormat/>
    <w:pPr>
      <w:numPr>
        <w:numId w:val="1"/>
      </w:numPr>
      <w:ind w:left="425" w:hanging="425"/>
      <w:outlineLvl w:val="0"/>
    </w:pPr>
  </w:style>
  <w:style w:type="paragraph" w:styleId="berschrift2">
    <w:name w:val="heading 2"/>
    <w:basedOn w:val="Standard"/>
    <w:next w:val="Standard1"/>
    <w:qFormat/>
    <w:pPr>
      <w:numPr>
        <w:ilvl w:val="1"/>
        <w:numId w:val="1"/>
      </w:numPr>
      <w:ind w:left="454" w:hanging="454"/>
      <w:outlineLvl w:val="1"/>
    </w:pPr>
  </w:style>
  <w:style w:type="paragraph" w:styleId="berschrift3">
    <w:name w:val="heading 3"/>
    <w:basedOn w:val="Standard"/>
    <w:next w:val="Standard2"/>
    <w:qFormat/>
    <w:pPr>
      <w:numPr>
        <w:ilvl w:val="2"/>
        <w:numId w:val="1"/>
      </w:numPr>
      <w:ind w:left="652" w:hanging="652"/>
      <w:outlineLvl w:val="2"/>
    </w:pPr>
  </w:style>
  <w:style w:type="paragraph" w:styleId="berschrift4">
    <w:name w:val="heading 4"/>
    <w:basedOn w:val="Standard"/>
    <w:next w:val="Standard3"/>
    <w:qFormat/>
    <w:pPr>
      <w:numPr>
        <w:ilvl w:val="3"/>
        <w:numId w:val="1"/>
      </w:numPr>
      <w:ind w:left="851" w:hanging="851"/>
      <w:outlineLvl w:val="3"/>
    </w:pPr>
  </w:style>
  <w:style w:type="paragraph" w:styleId="berschrift5">
    <w:name w:val="heading 5"/>
    <w:basedOn w:val="Standard"/>
    <w:next w:val="Standard4"/>
    <w:qFormat/>
    <w:pPr>
      <w:numPr>
        <w:ilvl w:val="4"/>
        <w:numId w:val="1"/>
      </w:numPr>
      <w:ind w:left="1021" w:hanging="1021"/>
      <w:outlineLvl w:val="4"/>
    </w:pPr>
  </w:style>
  <w:style w:type="paragraph" w:styleId="berschrift6">
    <w:name w:val="heading 6"/>
    <w:basedOn w:val="Standard"/>
    <w:next w:val="Standard5"/>
    <w:qFormat/>
    <w:pPr>
      <w:numPr>
        <w:ilvl w:val="5"/>
        <w:numId w:val="1"/>
      </w:numPr>
      <w:ind w:left="1191" w:hanging="1191"/>
      <w:outlineLvl w:val="5"/>
    </w:pPr>
  </w:style>
  <w:style w:type="paragraph" w:styleId="berschrift7">
    <w:name w:val="heading 7"/>
    <w:basedOn w:val="Standard"/>
    <w:next w:val="Standard6"/>
    <w:qFormat/>
    <w:pPr>
      <w:numPr>
        <w:ilvl w:val="6"/>
        <w:numId w:val="1"/>
      </w:numPr>
      <w:ind w:left="1361" w:hanging="1361"/>
      <w:outlineLvl w:val="6"/>
    </w:pPr>
  </w:style>
  <w:style w:type="paragraph" w:styleId="berschrift8">
    <w:name w:val="heading 8"/>
    <w:basedOn w:val="Standard"/>
    <w:next w:val="Standard7"/>
    <w:qFormat/>
    <w:pPr>
      <w:numPr>
        <w:ilvl w:val="7"/>
        <w:numId w:val="1"/>
      </w:numPr>
      <w:ind w:left="1559" w:hanging="1559"/>
      <w:outlineLvl w:val="7"/>
    </w:pPr>
  </w:style>
  <w:style w:type="paragraph" w:styleId="berschrift9">
    <w:name w:val="heading 9"/>
    <w:basedOn w:val="Standard"/>
    <w:next w:val="Standard8"/>
    <w:qFormat/>
    <w:pPr>
      <w:numPr>
        <w:ilvl w:val="8"/>
        <w:numId w:val="1"/>
      </w:numPr>
      <w:ind w:left="1701" w:hanging="1701"/>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20999"/>
    <w:rPr>
      <w:rFonts w:ascii="Segoe UI" w:hAnsi="Segoe UI" w:cs="Segoe UI"/>
      <w:sz w:val="18"/>
      <w:szCs w:val="18"/>
    </w:rPr>
  </w:style>
  <w:style w:type="paragraph" w:customStyle="1" w:styleId="Standard1">
    <w:name w:val="Standard 1"/>
    <w:basedOn w:val="Standard"/>
    <w:pPr>
      <w:ind w:left="454" w:right="454"/>
    </w:pPr>
  </w:style>
  <w:style w:type="paragraph" w:customStyle="1" w:styleId="Standard2">
    <w:name w:val="Standard 2"/>
    <w:basedOn w:val="Standard1"/>
    <w:pPr>
      <w:ind w:left="652" w:right="652"/>
    </w:pPr>
  </w:style>
  <w:style w:type="paragraph" w:customStyle="1" w:styleId="Standard3">
    <w:name w:val="Standard 3"/>
    <w:basedOn w:val="Standard2"/>
    <w:pPr>
      <w:ind w:left="851" w:right="851"/>
    </w:pPr>
  </w:style>
  <w:style w:type="paragraph" w:customStyle="1" w:styleId="Standard4">
    <w:name w:val="Standard 4"/>
    <w:basedOn w:val="Standard3"/>
    <w:pPr>
      <w:ind w:left="1021" w:right="1021"/>
    </w:pPr>
  </w:style>
  <w:style w:type="paragraph" w:customStyle="1" w:styleId="Standard5">
    <w:name w:val="Standard 5"/>
    <w:basedOn w:val="Standard4"/>
    <w:pPr>
      <w:ind w:left="1191" w:right="1191"/>
    </w:pPr>
  </w:style>
  <w:style w:type="paragraph" w:customStyle="1" w:styleId="Standard6">
    <w:name w:val="Standard 6"/>
    <w:basedOn w:val="Standard5"/>
    <w:pPr>
      <w:ind w:left="1361" w:right="1361"/>
    </w:pPr>
  </w:style>
  <w:style w:type="paragraph" w:customStyle="1" w:styleId="Standard7">
    <w:name w:val="Standard 7"/>
    <w:basedOn w:val="Standard6"/>
    <w:pPr>
      <w:ind w:left="1559" w:right="1559"/>
    </w:pPr>
  </w:style>
  <w:style w:type="paragraph" w:customStyle="1" w:styleId="Aufzhlung1">
    <w:name w:val="Aufzählung1"/>
    <w:basedOn w:val="Standard"/>
    <w:pPr>
      <w:ind w:left="425" w:hanging="425"/>
    </w:pPr>
  </w:style>
  <w:style w:type="paragraph" w:customStyle="1" w:styleId="Aufzhlung2">
    <w:name w:val="Aufzählung2"/>
    <w:basedOn w:val="Aufzhlung1"/>
    <w:pPr>
      <w:ind w:left="850" w:right="425"/>
    </w:pPr>
  </w:style>
  <w:style w:type="character" w:customStyle="1" w:styleId="SprechblasentextZchn">
    <w:name w:val="Sprechblasentext Zchn"/>
    <w:link w:val="Sprechblasentext"/>
    <w:rsid w:val="00720999"/>
    <w:rPr>
      <w:rFonts w:ascii="Segoe UI" w:hAnsi="Segoe UI" w:cs="Segoe UI"/>
      <w:sz w:val="18"/>
      <w:szCs w:val="18"/>
    </w:rPr>
  </w:style>
  <w:style w:type="paragraph" w:customStyle="1" w:styleId="Numm2a">
    <w:name w:val="Numm2 (a"/>
    <w:aliases w:val="b...)"/>
    <w:basedOn w:val="Standard"/>
    <w:pPr>
      <w:ind w:left="850" w:right="425" w:hanging="425"/>
    </w:pPr>
  </w:style>
  <w:style w:type="paragraph" w:customStyle="1" w:styleId="Standard8">
    <w:name w:val="Standard 8"/>
    <w:basedOn w:val="Standard"/>
    <w:pPr>
      <w:ind w:left="1701" w:right="1701"/>
    </w:pPr>
  </w:style>
  <w:style w:type="paragraph" w:customStyle="1" w:styleId="Standard0">
    <w:name w:val="Standard 0"/>
    <w:basedOn w:val="Standard1"/>
    <w:pPr>
      <w:ind w:left="425" w:right="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s\IQProgramm\Vorlagen\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Template>
  <TotalTime>0</TotalTime>
  <Pages>1</Pages>
  <Words>481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Company>Illingen</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Knoll</dc:creator>
  <cp:keywords/>
  <cp:lastModifiedBy>Petra Mohr | Fauststadt Knittlingen</cp:lastModifiedBy>
  <cp:revision>2</cp:revision>
  <cp:lastPrinted>2020-09-30T08:29:00Z</cp:lastPrinted>
  <dcterms:created xsi:type="dcterms:W3CDTF">2024-02-13T09:55:00Z</dcterms:created>
  <dcterms:modified xsi:type="dcterms:W3CDTF">2024-02-13T09:55:00Z</dcterms:modified>
</cp:coreProperties>
</file>